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EB" w:rsidRDefault="004A6855" w:rsidP="00D51017">
      <w:pPr>
        <w:pStyle w:val="a3"/>
        <w:ind w:firstLine="708"/>
      </w:pPr>
      <w:r>
        <w:t>Уважаемые заказчики здравоохранения</w:t>
      </w:r>
      <w:r w:rsidR="00580FEB">
        <w:t xml:space="preserve"> </w:t>
      </w:r>
      <w:r w:rsidR="00580FEB" w:rsidRPr="00580FEB">
        <w:t>и социального развития</w:t>
      </w:r>
      <w:r w:rsidR="00580FEB">
        <w:t>!</w:t>
      </w:r>
      <w:r>
        <w:t xml:space="preserve"> </w:t>
      </w:r>
    </w:p>
    <w:p w:rsidR="00614B61" w:rsidRDefault="004A6855" w:rsidP="00D51017">
      <w:pPr>
        <w:pStyle w:val="a3"/>
        <w:ind w:firstLine="708"/>
      </w:pPr>
      <w:r>
        <w:t xml:space="preserve">В соответствии с приказом от 17.12.2025 г. № 36-ОД «О внесении изменений в приказ начальника </w:t>
      </w:r>
      <w:r w:rsidRPr="004A6855">
        <w:t>Главно</w:t>
      </w:r>
      <w:r>
        <w:t>го</w:t>
      </w:r>
      <w:r w:rsidRPr="004A6855">
        <w:t xml:space="preserve"> управлени</w:t>
      </w:r>
      <w:r>
        <w:t>я</w:t>
      </w:r>
      <w:r w:rsidRPr="004A6855">
        <w:t xml:space="preserve"> Смоленской области по регулированию контрактной системы от 03.06.2024№ 22-ОД </w:t>
      </w:r>
      <w:r>
        <w:t>«</w:t>
      </w:r>
      <w:r w:rsidRPr="004A6855">
        <w:t>О порядке взаимодействия заказчиков, осуществляющих закупки для обеспечения государственных нужд Смоленской области, областных государственных бюджетных учреждений и смоленского областного государственного казенного учреждения «Региональный центр закупок» при осуществлении закупок для обеспечения государственных нужд Смоленской области, и нужд областных государственных бюджетных учреждений</w:t>
      </w:r>
      <w:r>
        <w:t xml:space="preserve">»»  </w:t>
      </w:r>
      <w:r w:rsidR="00D51017">
        <w:t xml:space="preserve">внесены изменения в перечень </w:t>
      </w:r>
      <w:r w:rsidR="00D51017" w:rsidRPr="00D51017">
        <w:t xml:space="preserve">товаров, работ, услуг определение поставщиков (подрядчиков, исполнителей) </w:t>
      </w:r>
      <w:r w:rsidR="00D51017">
        <w:t xml:space="preserve">для </w:t>
      </w:r>
      <w:r w:rsidR="00D51017" w:rsidRPr="00D51017">
        <w:t xml:space="preserve">которых осуществляет </w:t>
      </w:r>
      <w:r w:rsidR="00D51017">
        <w:t>СОГКУ «Региональный центр закупок».</w:t>
      </w:r>
    </w:p>
    <w:p w:rsidR="00614B61" w:rsidRDefault="00D51017" w:rsidP="004A6855">
      <w:pPr>
        <w:pStyle w:val="a3"/>
      </w:pPr>
      <w:r>
        <w:tab/>
        <w:t xml:space="preserve">В соответствии с указанным перечнем в отношении заявок на закупку и лотов планов-графиков </w:t>
      </w:r>
      <w:r w:rsidR="00834711">
        <w:t xml:space="preserve">начиная с 2026 года </w:t>
      </w:r>
      <w:r>
        <w:t>в</w:t>
      </w:r>
      <w:bookmarkStart w:id="0" w:name="_GoBack"/>
      <w:bookmarkEnd w:id="0"/>
      <w:r>
        <w:t xml:space="preserve"> качестве уполномоченного органа следует указывать </w:t>
      </w:r>
      <w:r w:rsidRPr="00D51017">
        <w:t>СОГКУ «Региональный центр закупок»</w:t>
      </w:r>
      <w:r>
        <w:t>.</w:t>
      </w:r>
    </w:p>
    <w:p w:rsidR="00614B61" w:rsidRDefault="00D51017" w:rsidP="004A6855">
      <w:pPr>
        <w:pStyle w:val="a3"/>
      </w:pPr>
      <w:r>
        <w:tab/>
        <w:t>Так же при направлении по маршруту заявок в системе АИС ГЗ необходимо выбирать корректный маршрут «Заявка на закупку РЦЗ».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47"/>
        <w:gridCol w:w="2481"/>
        <w:gridCol w:w="2984"/>
        <w:gridCol w:w="3381"/>
      </w:tblGrid>
      <w:tr w:rsidR="00614B61" w:rsidRPr="00614B61" w:rsidTr="00614B61">
        <w:tc>
          <w:tcPr>
            <w:tcW w:w="647" w:type="dxa"/>
            <w:vAlign w:val="center"/>
          </w:tcPr>
          <w:p w:rsidR="00614B61" w:rsidRPr="00614B61" w:rsidRDefault="00614B61" w:rsidP="00216861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№ п/п</w:t>
            </w:r>
          </w:p>
        </w:tc>
        <w:tc>
          <w:tcPr>
            <w:tcW w:w="2481" w:type="dxa"/>
            <w:vAlign w:val="center"/>
          </w:tcPr>
          <w:p w:rsidR="00614B61" w:rsidRPr="00614B61" w:rsidRDefault="00614B61" w:rsidP="00216861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2984" w:type="dxa"/>
            <w:vAlign w:val="center"/>
          </w:tcPr>
          <w:p w:rsidR="00614B61" w:rsidRPr="00614B61" w:rsidRDefault="00614B61" w:rsidP="00216861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381" w:type="dxa"/>
            <w:vAlign w:val="center"/>
          </w:tcPr>
          <w:p w:rsidR="00614B61" w:rsidRPr="00614B61" w:rsidRDefault="00614B61" w:rsidP="00614B61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Перечень закупаемых товаров</w:t>
            </w:r>
          </w:p>
        </w:tc>
      </w:tr>
      <w:tr w:rsidR="00614B61" w:rsidRPr="00614B61" w:rsidTr="00614B61">
        <w:trPr>
          <w:trHeight w:val="709"/>
        </w:trPr>
        <w:tc>
          <w:tcPr>
            <w:tcW w:w="647" w:type="dxa"/>
            <w:vAlign w:val="center"/>
          </w:tcPr>
          <w:p w:rsidR="00614B61" w:rsidRPr="00614B61" w:rsidRDefault="00614B61" w:rsidP="00216861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1.</w:t>
            </w:r>
          </w:p>
        </w:tc>
        <w:tc>
          <w:tcPr>
            <w:tcW w:w="2481" w:type="dxa"/>
            <w:vAlign w:val="center"/>
          </w:tcPr>
          <w:p w:rsidR="00614B61" w:rsidRPr="00614B61" w:rsidRDefault="00614B61" w:rsidP="00216861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 xml:space="preserve">21.10 </w:t>
            </w:r>
          </w:p>
        </w:tc>
        <w:tc>
          <w:tcPr>
            <w:tcW w:w="2984" w:type="dxa"/>
            <w:vAlign w:val="center"/>
          </w:tcPr>
          <w:p w:rsidR="00614B61" w:rsidRPr="00614B61" w:rsidRDefault="00614B61" w:rsidP="00216861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Субстанции фармацевтические</w:t>
            </w:r>
          </w:p>
        </w:tc>
        <w:tc>
          <w:tcPr>
            <w:tcW w:w="3381" w:type="dxa"/>
            <w:vAlign w:val="center"/>
          </w:tcPr>
          <w:p w:rsidR="00614B61" w:rsidRPr="00614B61" w:rsidRDefault="00614B61" w:rsidP="00614B61">
            <w:pPr>
              <w:ind w:firstLine="33"/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Субстанции лекарственных препаратов, закупаемые для медицинских и лабораторных целей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  <w:lang w:val="en-US"/>
              </w:rPr>
              <w:t>2</w:t>
            </w:r>
            <w:r w:rsidRPr="00614B61">
              <w:rPr>
                <w:sz w:val="24"/>
                <w:szCs w:val="24"/>
              </w:rPr>
              <w:t>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D51017">
              <w:rPr>
                <w:sz w:val="24"/>
                <w:szCs w:val="24"/>
              </w:rPr>
              <w:t>21.20.1-20.23.194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rPr>
                <w:sz w:val="24"/>
                <w:szCs w:val="24"/>
              </w:rPr>
            </w:pPr>
            <w:r w:rsidRPr="00D51017">
              <w:rPr>
                <w:sz w:val="24"/>
                <w:szCs w:val="24"/>
              </w:rPr>
              <w:t>Лекарственные препараты для медицинского применения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 w:rsidRPr="00D51017">
              <w:rPr>
                <w:sz w:val="24"/>
                <w:szCs w:val="24"/>
              </w:rPr>
              <w:t>Лекарственные препараты для медицинского применения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21.10.5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Провитамины, витамины и гормоны, гликозиды и алкалоиды растительного происхождения, и их производные</w:t>
            </w:r>
            <w:r w:rsidRPr="00614B61">
              <w:rPr>
                <w:color w:val="FF0000"/>
                <w:sz w:val="24"/>
                <w:szCs w:val="24"/>
              </w:rPr>
              <w:t>,</w:t>
            </w:r>
            <w:r w:rsidRPr="00614B61">
              <w:rPr>
                <w:sz w:val="24"/>
                <w:szCs w:val="24"/>
              </w:rPr>
              <w:t xml:space="preserve"> антибиотики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 и вакцины, закупаемые для медицинских целей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4.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21.20.24.131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Рулон марлевый тканый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Бинты различных размеров, стерильные и не стерильные в соответствии с КТРУ</w:t>
            </w:r>
          </w:p>
        </w:tc>
      </w:tr>
      <w:tr w:rsidR="00D51017" w:rsidRPr="00614B61" w:rsidTr="00614B61">
        <w:trPr>
          <w:trHeight w:val="421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5.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13.99.19.111</w:t>
            </w:r>
          </w:p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21.20.24.150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Лента ватная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Вата в рулонах </w:t>
            </w:r>
            <w:r w:rsidRPr="00614B61">
              <w:rPr>
                <w:sz w:val="24"/>
                <w:szCs w:val="24"/>
              </w:rPr>
              <w:t>различных размеров</w:t>
            </w:r>
            <w:r>
              <w:rPr>
                <w:sz w:val="24"/>
                <w:szCs w:val="24"/>
              </w:rPr>
              <w:t xml:space="preserve"> и веса</w:t>
            </w:r>
            <w:r w:rsidRPr="00614B61">
              <w:rPr>
                <w:sz w:val="24"/>
                <w:szCs w:val="24"/>
              </w:rPr>
              <w:t xml:space="preserve"> стерильн</w:t>
            </w:r>
            <w:r>
              <w:rPr>
                <w:sz w:val="24"/>
                <w:szCs w:val="24"/>
              </w:rPr>
              <w:t>ая</w:t>
            </w:r>
            <w:r w:rsidRPr="00614B61">
              <w:rPr>
                <w:sz w:val="24"/>
                <w:szCs w:val="24"/>
              </w:rPr>
              <w:t xml:space="preserve"> и не стерильн</w:t>
            </w:r>
            <w:r>
              <w:rPr>
                <w:sz w:val="24"/>
                <w:szCs w:val="24"/>
              </w:rPr>
              <w:t>ая</w:t>
            </w:r>
            <w:r w:rsidRPr="00614B61">
              <w:rPr>
                <w:sz w:val="24"/>
                <w:szCs w:val="24"/>
              </w:rPr>
              <w:t xml:space="preserve"> в соответствии с КТРУ</w:t>
            </w:r>
          </w:p>
        </w:tc>
      </w:tr>
      <w:tr w:rsidR="00D51017" w:rsidRPr="00614B61" w:rsidTr="00614B61">
        <w:trPr>
          <w:trHeight w:val="427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6.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22.19.50.000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Клеенка подкладная резинотканевая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Отрезы подкладной клеенки </w:t>
            </w:r>
            <w:r w:rsidRPr="00614B61">
              <w:rPr>
                <w:sz w:val="24"/>
                <w:szCs w:val="24"/>
              </w:rPr>
              <w:t>различных размеров, стерильные и не стерильные в соответствии с КТРУ</w:t>
            </w:r>
          </w:p>
        </w:tc>
      </w:tr>
      <w:tr w:rsidR="00D51017" w:rsidRPr="00614B61" w:rsidTr="00614B61">
        <w:trPr>
          <w:trHeight w:val="547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7.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22.29.29.130</w:t>
            </w:r>
          </w:p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32.50.13.190</w:t>
            </w:r>
          </w:p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32.50.50.190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 xml:space="preserve">Контейнер для сбора проб 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Контейнера </w:t>
            </w:r>
            <w:r w:rsidRPr="00614B61">
              <w:rPr>
                <w:sz w:val="24"/>
                <w:szCs w:val="24"/>
              </w:rPr>
              <w:t>различных размеров, стерильные и не стерильные в соответствии с КТРУ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23.19.23.110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Пробирка цилиндрическая с развернутым краем (тип П1)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Пробирки стеклянные тип П1, закупаемые для лабораторных исследований 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9.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32.50.13.110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Шприц общего назначения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Шприцы одноразовые общего назначения различных размеров, стерильные в соответствии с КТРУ</w:t>
            </w:r>
          </w:p>
        </w:tc>
      </w:tr>
      <w:tr w:rsidR="00D51017" w:rsidRPr="00614B61" w:rsidTr="00614B61">
        <w:trPr>
          <w:trHeight w:val="405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10.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32.50.13.110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Катетер уретральный для однократного дренирования/промывания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Одноразовые катетеры для дренирования (промывания) мочевого пузыря мужские и женские различных размеров, стерильные и не стерильные в соответствии с КТРУ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11.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32.50.13.190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Скарификатор неавтоматический, одноразового использования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Скарификаторы одноразовые стерильные в соответствии с КТРУ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12.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32.50.50.190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Контейнер лабораторный общего назначения, нестерильный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Контейнеры для забора биоматериала от пациентов различных объемов, не стерильные в соответствии с КТРУ</w:t>
            </w:r>
          </w:p>
        </w:tc>
      </w:tr>
      <w:tr w:rsidR="00D51017" w:rsidRPr="00614B61" w:rsidTr="00614B61">
        <w:trPr>
          <w:trHeight w:val="709"/>
        </w:trPr>
        <w:tc>
          <w:tcPr>
            <w:tcW w:w="647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81" w:type="dxa"/>
            <w:vAlign w:val="center"/>
          </w:tcPr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32.50.13.190</w:t>
            </w:r>
          </w:p>
          <w:p w:rsidR="00D51017" w:rsidRPr="00614B61" w:rsidRDefault="00D51017" w:rsidP="00D51017">
            <w:pPr>
              <w:jc w:val="center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32.50.50.190</w:t>
            </w:r>
          </w:p>
        </w:tc>
        <w:tc>
          <w:tcPr>
            <w:tcW w:w="2984" w:type="dxa"/>
            <w:vAlign w:val="center"/>
          </w:tcPr>
          <w:p w:rsidR="00D51017" w:rsidRPr="00614B61" w:rsidRDefault="00D51017" w:rsidP="00D51017">
            <w:pPr>
              <w:ind w:firstLine="33"/>
              <w:jc w:val="both"/>
              <w:rPr>
                <w:sz w:val="24"/>
                <w:szCs w:val="24"/>
              </w:rPr>
            </w:pPr>
            <w:r w:rsidRPr="00614B61">
              <w:rPr>
                <w:sz w:val="24"/>
                <w:szCs w:val="24"/>
              </w:rPr>
              <w:t>Стекло предметное и (или) слайд для микроскопии ИВД, одноразового использования</w:t>
            </w:r>
          </w:p>
        </w:tc>
        <w:tc>
          <w:tcPr>
            <w:tcW w:w="3381" w:type="dxa"/>
            <w:vAlign w:val="center"/>
          </w:tcPr>
          <w:p w:rsidR="00D51017" w:rsidRPr="00614B61" w:rsidRDefault="00D51017" w:rsidP="00D51017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Одноразовые стекла предметные для лабораторных микроскопических исследований различных размеров в соответствии с КТРУ</w:t>
            </w:r>
          </w:p>
        </w:tc>
      </w:tr>
    </w:tbl>
    <w:p w:rsidR="00614B61" w:rsidRDefault="00614B61" w:rsidP="004A6855">
      <w:pPr>
        <w:pStyle w:val="a3"/>
      </w:pPr>
    </w:p>
    <w:sectPr w:rsidR="0061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61"/>
    <w:rsid w:val="00296204"/>
    <w:rsid w:val="004A6855"/>
    <w:rsid w:val="005148F4"/>
    <w:rsid w:val="00580FEB"/>
    <w:rsid w:val="00614B61"/>
    <w:rsid w:val="00834711"/>
    <w:rsid w:val="00C86818"/>
    <w:rsid w:val="00D51017"/>
    <w:rsid w:val="00DF200A"/>
    <w:rsid w:val="00E755D1"/>
    <w:rsid w:val="00E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F5340-83C6-489D-99AF-DB2475EE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6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86818"/>
    <w:pPr>
      <w:keepNext/>
      <w:keepLines/>
      <w:spacing w:before="40"/>
      <w:outlineLvl w:val="1"/>
    </w:pPr>
    <w:rPr>
      <w:rFonts w:eastAsiaTheme="majorEastAsia" w:cstheme="majorBidi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681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8"/>
      <w:szCs w:val="24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86818"/>
    <w:pPr>
      <w:keepNext/>
      <w:keepLines/>
      <w:spacing w:before="40"/>
      <w:outlineLvl w:val="3"/>
    </w:pPr>
    <w:rPr>
      <w:rFonts w:eastAsiaTheme="majorEastAsia" w:cstheme="majorBidi"/>
      <w:iCs/>
      <w:sz w:val="28"/>
      <w:lang w:eastAsia="en-US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C86818"/>
    <w:pPr>
      <w:keepNext/>
      <w:keepLines/>
      <w:spacing w:before="40"/>
      <w:outlineLvl w:val="4"/>
    </w:pPr>
    <w:rPr>
      <w:rFonts w:eastAsiaTheme="majorEastAsia" w:cstheme="majorBid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A685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86818"/>
    <w:rPr>
      <w:rFonts w:ascii="Times New Roman" w:eastAsiaTheme="majorEastAsia" w:hAnsi="Times New Roman" w:cstheme="majorBidi"/>
      <w:color w:val="1F4D78" w:themeColor="accent1" w:themeShade="7F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86818"/>
    <w:rPr>
      <w:rFonts w:ascii="Times New Roman" w:eastAsiaTheme="majorEastAsia" w:hAnsi="Times New Roman" w:cstheme="majorBidi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C86818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C86818"/>
    <w:rPr>
      <w:rFonts w:ascii="Times New Roman" w:eastAsiaTheme="majorEastAsia" w:hAnsi="Times New Roman" w:cstheme="majorBidi"/>
      <w:sz w:val="28"/>
    </w:rPr>
  </w:style>
  <w:style w:type="table" w:styleId="a4">
    <w:name w:val="Table Grid"/>
    <w:basedOn w:val="a1"/>
    <w:uiPriority w:val="59"/>
    <w:rsid w:val="00614B6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kontrakt.servis.spkd@outlook.com</dc:creator>
  <cp:lastModifiedBy>ASUS N</cp:lastModifiedBy>
  <cp:revision>2</cp:revision>
  <dcterms:created xsi:type="dcterms:W3CDTF">2025-12-23T09:28:00Z</dcterms:created>
  <dcterms:modified xsi:type="dcterms:W3CDTF">2025-12-23T09:28:00Z</dcterms:modified>
</cp:coreProperties>
</file>